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94294" w14:textId="77777777" w:rsidR="00C27B23" w:rsidRPr="0041405A" w:rsidRDefault="0048249A">
      <w:pPr>
        <w:pStyle w:val="Titolo"/>
        <w:pageBreakBefore/>
        <w:rPr>
          <w:rFonts w:ascii="Titillium" w:hAnsi="Titillium"/>
          <w:sz w:val="20"/>
          <w:szCs w:val="20"/>
        </w:rPr>
      </w:pPr>
      <w:r w:rsidRPr="0041405A">
        <w:rPr>
          <w:rFonts w:ascii="Titillium" w:hAnsi="Titillium"/>
          <w:sz w:val="20"/>
          <w:szCs w:val="20"/>
        </w:rPr>
        <w:t xml:space="preserve">Scheda di sintesi sulla rilevazione degli OIV o </w:t>
      </w:r>
      <w:r w:rsidR="009A5646" w:rsidRPr="0041405A">
        <w:rPr>
          <w:rFonts w:ascii="Titillium" w:hAnsi="Titillium"/>
          <w:sz w:val="20"/>
          <w:szCs w:val="20"/>
        </w:rPr>
        <w:t>organismi con funzioni analoghe</w:t>
      </w:r>
    </w:p>
    <w:p w14:paraId="030C0043" w14:textId="77777777" w:rsidR="00C27B23" w:rsidRPr="0041405A" w:rsidRDefault="00C27B23">
      <w:pPr>
        <w:pStyle w:val="Paragrafoelenco"/>
        <w:ind w:left="0" w:firstLine="0"/>
        <w:rPr>
          <w:rFonts w:ascii="Titillium" w:hAnsi="Titillium"/>
          <w:sz w:val="20"/>
          <w:szCs w:val="20"/>
        </w:rPr>
      </w:pPr>
    </w:p>
    <w:p w14:paraId="7E72AB4E" w14:textId="77777777" w:rsidR="00C27B23" w:rsidRPr="0041405A" w:rsidRDefault="0048249A">
      <w:pPr>
        <w:pStyle w:val="Paragrafoelenco"/>
        <w:spacing w:line="360" w:lineRule="auto"/>
        <w:ind w:left="0" w:firstLine="0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>Data di svolgimento della rilevazione</w:t>
      </w:r>
    </w:p>
    <w:p w14:paraId="06CA4EE6" w14:textId="77777777" w:rsidR="00FF31C6" w:rsidRPr="0041405A" w:rsidRDefault="00AE0382">
      <w:pPr>
        <w:pStyle w:val="Paragrafoelenco"/>
        <w:spacing w:line="276" w:lineRule="auto"/>
        <w:ind w:left="0" w:firstLine="0"/>
        <w:rPr>
          <w:rFonts w:ascii="Titillium" w:hAnsi="Titillium"/>
          <w:sz w:val="20"/>
          <w:szCs w:val="20"/>
          <w:u w:val="single"/>
        </w:rPr>
      </w:pPr>
      <w:r>
        <w:rPr>
          <w:rFonts w:ascii="Titillium" w:hAnsi="Titillium"/>
          <w:sz w:val="20"/>
          <w:szCs w:val="20"/>
        </w:rPr>
        <w:t xml:space="preserve">20/05/2021 - </w:t>
      </w:r>
      <w:r w:rsidR="00FF31C6">
        <w:rPr>
          <w:rFonts w:ascii="Titillium" w:hAnsi="Titillium"/>
          <w:sz w:val="20"/>
          <w:szCs w:val="20"/>
        </w:rPr>
        <w:t>09/06/2021</w:t>
      </w:r>
    </w:p>
    <w:p w14:paraId="1A418D9F" w14:textId="77777777" w:rsidR="00C27B23" w:rsidRPr="0041405A" w:rsidRDefault="00C27B23">
      <w:pPr>
        <w:pStyle w:val="Paragrafoelenco"/>
        <w:spacing w:line="276" w:lineRule="auto"/>
        <w:ind w:left="0" w:firstLine="0"/>
        <w:rPr>
          <w:rFonts w:ascii="Titillium" w:hAnsi="Titillium"/>
          <w:sz w:val="20"/>
          <w:szCs w:val="20"/>
        </w:rPr>
      </w:pPr>
    </w:p>
    <w:p w14:paraId="5FE2CBDA" w14:textId="77777777" w:rsidR="00C27B23" w:rsidRPr="0041405A" w:rsidRDefault="0048249A">
      <w:pPr>
        <w:pStyle w:val="Paragrafoelenco"/>
        <w:spacing w:after="0"/>
        <w:ind w:left="0" w:firstLine="0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 xml:space="preserve">Estensione della rilevazione (nel </w:t>
      </w:r>
      <w:r w:rsidR="00FC7906" w:rsidRPr="0041405A">
        <w:rPr>
          <w:rFonts w:ascii="Titillium" w:hAnsi="Titillium"/>
          <w:b/>
          <w:i/>
          <w:sz w:val="20"/>
          <w:szCs w:val="20"/>
        </w:rPr>
        <w:t xml:space="preserve">solo </w:t>
      </w:r>
      <w:r w:rsidRPr="0041405A">
        <w:rPr>
          <w:rFonts w:ascii="Titillium" w:hAnsi="Titillium"/>
          <w:b/>
          <w:i/>
          <w:sz w:val="20"/>
          <w:szCs w:val="20"/>
        </w:rPr>
        <w:t>caso di ammin</w:t>
      </w:r>
      <w:r w:rsidR="007A107C" w:rsidRPr="0041405A">
        <w:rPr>
          <w:rFonts w:ascii="Titillium" w:hAnsi="Titillium"/>
          <w:b/>
          <w:i/>
          <w:sz w:val="20"/>
          <w:szCs w:val="20"/>
        </w:rPr>
        <w:t>istrazioni</w:t>
      </w:r>
      <w:r w:rsidR="00FC7906" w:rsidRPr="0041405A">
        <w:rPr>
          <w:rFonts w:ascii="Titillium" w:hAnsi="Titillium"/>
          <w:b/>
          <w:i/>
          <w:sz w:val="20"/>
          <w:szCs w:val="20"/>
        </w:rPr>
        <w:t>/enti</w:t>
      </w:r>
      <w:r w:rsidR="007A107C" w:rsidRPr="0041405A">
        <w:rPr>
          <w:rFonts w:ascii="Titillium" w:hAnsi="Titillium"/>
          <w:b/>
          <w:i/>
          <w:sz w:val="20"/>
          <w:szCs w:val="20"/>
        </w:rPr>
        <w:t xml:space="preserve"> con uffici periferici)</w:t>
      </w:r>
    </w:p>
    <w:p w14:paraId="1AB341CA" w14:textId="77777777" w:rsidR="00C27B23" w:rsidRPr="0041405A" w:rsidRDefault="00C27B23">
      <w:pPr>
        <w:pStyle w:val="Paragrafoelenco"/>
        <w:spacing w:after="0"/>
        <w:ind w:left="0" w:firstLine="0"/>
        <w:rPr>
          <w:rFonts w:ascii="Titillium" w:hAnsi="Titillium"/>
          <w:b/>
          <w:sz w:val="20"/>
          <w:szCs w:val="20"/>
          <w:u w:val="single"/>
        </w:rPr>
      </w:pPr>
    </w:p>
    <w:p w14:paraId="466AB625" w14:textId="14498C2E" w:rsidR="00C27B23" w:rsidRDefault="00294922" w:rsidP="00294922">
      <w:pPr>
        <w:spacing w:after="0" w:line="276" w:lineRule="auto"/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</w:pPr>
      <w:r w:rsidRPr="00294922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>Amministrazione priva di Uffici Periferici. Non applicabile</w:t>
      </w:r>
    </w:p>
    <w:p w14:paraId="6493899D" w14:textId="77777777" w:rsidR="00294922" w:rsidRPr="00294922" w:rsidRDefault="00294922" w:rsidP="00294922">
      <w:pPr>
        <w:spacing w:after="0" w:line="276" w:lineRule="auto"/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</w:pPr>
    </w:p>
    <w:p w14:paraId="2BC41AB2" w14:textId="77777777" w:rsidR="00294922" w:rsidRPr="00294922" w:rsidRDefault="00294922" w:rsidP="00294922">
      <w:pPr>
        <w:spacing w:after="0" w:line="276" w:lineRule="auto"/>
        <w:rPr>
          <w:rFonts w:ascii="Titillium" w:hAnsi="Titillium"/>
          <w:sz w:val="20"/>
          <w:szCs w:val="20"/>
        </w:rPr>
      </w:pPr>
    </w:p>
    <w:p w14:paraId="06DA787F" w14:textId="77777777" w:rsidR="00C27B23" w:rsidRPr="0041405A" w:rsidRDefault="0048249A">
      <w:pPr>
        <w:pStyle w:val="Paragrafoelenco"/>
        <w:spacing w:line="360" w:lineRule="auto"/>
        <w:ind w:left="0" w:firstLine="0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 xml:space="preserve">Procedure e modalità seguite per la rilevazione </w:t>
      </w:r>
    </w:p>
    <w:p w14:paraId="297E9444" w14:textId="4C9C4408" w:rsidR="00FF31C6" w:rsidRPr="00FF31C6" w:rsidRDefault="00FF31C6" w:rsidP="00FF31C6">
      <w:pPr>
        <w:pStyle w:val="Default"/>
        <w:tabs>
          <w:tab w:val="left" w:pos="0"/>
        </w:tabs>
        <w:spacing w:line="360" w:lineRule="auto"/>
        <w:jc w:val="both"/>
        <w:rPr>
          <w:rFonts w:ascii="Titillium" w:hAnsi="Titillium"/>
          <w:sz w:val="20"/>
          <w:szCs w:val="20"/>
        </w:rPr>
      </w:pPr>
      <w:r w:rsidRPr="00FF31C6">
        <w:rPr>
          <w:rFonts w:ascii="Titillium" w:hAnsi="Titillium"/>
          <w:sz w:val="20"/>
          <w:szCs w:val="20"/>
        </w:rPr>
        <w:t>La rilevazione è stata compiuta</w:t>
      </w:r>
      <w:r>
        <w:rPr>
          <w:rFonts w:ascii="Titillium" w:hAnsi="Titillium"/>
          <w:sz w:val="20"/>
          <w:szCs w:val="20"/>
        </w:rPr>
        <w:t xml:space="preserve"> tramite </w:t>
      </w:r>
      <w:r w:rsidR="00351979">
        <w:rPr>
          <w:rFonts w:ascii="Titillium" w:hAnsi="Titillium"/>
          <w:sz w:val="20"/>
          <w:szCs w:val="20"/>
        </w:rPr>
        <w:t xml:space="preserve">colloqui con </w:t>
      </w:r>
      <w:r w:rsidR="0007476E">
        <w:rPr>
          <w:rFonts w:ascii="Titillium" w:hAnsi="Titillium"/>
          <w:sz w:val="20"/>
          <w:szCs w:val="20"/>
        </w:rPr>
        <w:t>l’Ufficio Anticorruzione e Trasparenza</w:t>
      </w:r>
      <w:r w:rsidR="00351979">
        <w:rPr>
          <w:rFonts w:ascii="Titillium" w:hAnsi="Titillium"/>
          <w:sz w:val="20"/>
          <w:szCs w:val="20"/>
        </w:rPr>
        <w:t>,</w:t>
      </w:r>
      <w:r w:rsidR="00351979" w:rsidRPr="00FF31C6">
        <w:rPr>
          <w:rFonts w:ascii="Titillium" w:hAnsi="Titillium"/>
          <w:i/>
          <w:iCs/>
          <w:sz w:val="20"/>
          <w:szCs w:val="20"/>
        </w:rPr>
        <w:t xml:space="preserve"> </w:t>
      </w:r>
      <w:r>
        <w:rPr>
          <w:rFonts w:ascii="Titillium" w:hAnsi="Titillium"/>
          <w:sz w:val="20"/>
          <w:szCs w:val="20"/>
        </w:rPr>
        <w:t>autovalutazion</w:t>
      </w:r>
      <w:r w:rsidR="00D8171C">
        <w:rPr>
          <w:rFonts w:ascii="Titillium" w:hAnsi="Titillium"/>
          <w:sz w:val="20"/>
          <w:szCs w:val="20"/>
        </w:rPr>
        <w:t>e</w:t>
      </w:r>
      <w:r>
        <w:rPr>
          <w:rFonts w:ascii="Titillium" w:hAnsi="Titillium"/>
          <w:sz w:val="20"/>
          <w:szCs w:val="20"/>
        </w:rPr>
        <w:t xml:space="preserve"> dei Dipartimenti </w:t>
      </w:r>
      <w:r w:rsidR="00AE0382">
        <w:rPr>
          <w:rFonts w:ascii="Titillium" w:hAnsi="Titillium"/>
          <w:sz w:val="20"/>
          <w:szCs w:val="20"/>
        </w:rPr>
        <w:t xml:space="preserve">e </w:t>
      </w:r>
      <w:r w:rsidRPr="0041405A">
        <w:rPr>
          <w:rFonts w:ascii="Titillium" w:hAnsi="Titillium"/>
          <w:sz w:val="20"/>
          <w:szCs w:val="20"/>
        </w:rPr>
        <w:t xml:space="preserve">verifica </w:t>
      </w:r>
      <w:r w:rsidRPr="00FF31C6">
        <w:rPr>
          <w:rFonts w:ascii="Titillium" w:hAnsi="Titillium"/>
          <w:sz w:val="20"/>
          <w:szCs w:val="20"/>
        </w:rPr>
        <w:t>diretta sul sito istituzionale.</w:t>
      </w:r>
      <w:r w:rsidR="00D8171C">
        <w:rPr>
          <w:rFonts w:ascii="Titillium" w:hAnsi="Titillium"/>
          <w:sz w:val="20"/>
          <w:szCs w:val="20"/>
        </w:rPr>
        <w:t xml:space="preserve"> </w:t>
      </w:r>
      <w:r w:rsidR="00560A68">
        <w:rPr>
          <w:rFonts w:ascii="Titillium" w:hAnsi="Titillium"/>
          <w:sz w:val="20"/>
          <w:szCs w:val="20"/>
        </w:rPr>
        <w:t xml:space="preserve">I colloqui con </w:t>
      </w:r>
      <w:r w:rsidR="0007476E">
        <w:rPr>
          <w:rFonts w:ascii="Titillium" w:hAnsi="Titillium"/>
          <w:sz w:val="20"/>
          <w:szCs w:val="20"/>
        </w:rPr>
        <w:t>l’Ufficio Anticorruzione e Trasparenza</w:t>
      </w:r>
      <w:r w:rsidR="00560A68">
        <w:rPr>
          <w:rFonts w:ascii="Titillium" w:hAnsi="Titillium"/>
          <w:sz w:val="20"/>
          <w:szCs w:val="20"/>
        </w:rPr>
        <w:t xml:space="preserve"> </w:t>
      </w:r>
      <w:r w:rsidR="00D0615F">
        <w:rPr>
          <w:rFonts w:ascii="Titillium" w:hAnsi="Titillium"/>
          <w:sz w:val="20"/>
          <w:szCs w:val="20"/>
        </w:rPr>
        <w:t>sono</w:t>
      </w:r>
      <w:r w:rsidR="00560A68">
        <w:rPr>
          <w:rFonts w:ascii="Titillium" w:hAnsi="Titillium"/>
          <w:sz w:val="20"/>
          <w:szCs w:val="20"/>
        </w:rPr>
        <w:t xml:space="preserve"> avvenut</w:t>
      </w:r>
      <w:r w:rsidR="00D0615F">
        <w:rPr>
          <w:rFonts w:ascii="Titillium" w:hAnsi="Titillium"/>
          <w:sz w:val="20"/>
          <w:szCs w:val="20"/>
        </w:rPr>
        <w:t>i</w:t>
      </w:r>
      <w:r w:rsidR="00560A68">
        <w:rPr>
          <w:rFonts w:ascii="Titillium" w:hAnsi="Titillium"/>
          <w:sz w:val="20"/>
          <w:szCs w:val="20"/>
        </w:rPr>
        <w:t xml:space="preserve"> in data 20/05/2021</w:t>
      </w:r>
      <w:r w:rsidR="00D0615F">
        <w:rPr>
          <w:rFonts w:ascii="Titillium" w:hAnsi="Titillium"/>
          <w:sz w:val="20"/>
          <w:szCs w:val="20"/>
        </w:rPr>
        <w:t xml:space="preserve"> e 25/05/2021</w:t>
      </w:r>
      <w:r w:rsidR="00560A68">
        <w:rPr>
          <w:rFonts w:ascii="Titillium" w:hAnsi="Titillium"/>
          <w:sz w:val="20"/>
          <w:szCs w:val="20"/>
        </w:rPr>
        <w:t xml:space="preserve">. </w:t>
      </w:r>
      <w:r w:rsidR="000D05C8">
        <w:rPr>
          <w:rFonts w:ascii="Titillium" w:hAnsi="Titillium"/>
          <w:sz w:val="20"/>
          <w:szCs w:val="20"/>
        </w:rPr>
        <w:t>I</w:t>
      </w:r>
      <w:r w:rsidR="00560A68">
        <w:rPr>
          <w:rFonts w:ascii="Titillium" w:hAnsi="Titillium"/>
          <w:sz w:val="20"/>
          <w:szCs w:val="20"/>
        </w:rPr>
        <w:t xml:space="preserve">n data 19/05, 24/05, 27/05 e 31/05 l’ufficio preposto ha inviato all’OIV le autovalutazioni dei </w:t>
      </w:r>
      <w:r w:rsidRPr="00FF31C6">
        <w:rPr>
          <w:rFonts w:ascii="Titillium" w:hAnsi="Titillium"/>
          <w:sz w:val="20"/>
          <w:szCs w:val="20"/>
        </w:rPr>
        <w:t>Dipartiment</w:t>
      </w:r>
      <w:r w:rsidR="00560A68">
        <w:rPr>
          <w:rFonts w:ascii="Titillium" w:hAnsi="Titillium"/>
          <w:sz w:val="20"/>
          <w:szCs w:val="20"/>
        </w:rPr>
        <w:t>i che hanno</w:t>
      </w:r>
      <w:r w:rsidRPr="00FF31C6">
        <w:rPr>
          <w:rFonts w:ascii="Titillium" w:hAnsi="Titillium"/>
          <w:sz w:val="20"/>
          <w:szCs w:val="20"/>
        </w:rPr>
        <w:t xml:space="preserve"> compila</w:t>
      </w:r>
      <w:r w:rsidR="00560A68">
        <w:rPr>
          <w:rFonts w:ascii="Titillium" w:hAnsi="Titillium"/>
          <w:sz w:val="20"/>
          <w:szCs w:val="20"/>
        </w:rPr>
        <w:t>to</w:t>
      </w:r>
      <w:r w:rsidRPr="00FF31C6">
        <w:rPr>
          <w:rFonts w:ascii="Titillium" w:hAnsi="Titillium"/>
          <w:sz w:val="20"/>
          <w:szCs w:val="20"/>
        </w:rPr>
        <w:t xml:space="preserve"> la griglia </w:t>
      </w:r>
      <w:r>
        <w:rPr>
          <w:rFonts w:ascii="Titillium" w:hAnsi="Titillium"/>
          <w:sz w:val="20"/>
          <w:szCs w:val="20"/>
        </w:rPr>
        <w:t>per le voci di propria competenza</w:t>
      </w:r>
      <w:r w:rsidR="00560A68">
        <w:rPr>
          <w:rFonts w:ascii="Titillium" w:hAnsi="Titillium"/>
          <w:sz w:val="20"/>
          <w:szCs w:val="20"/>
        </w:rPr>
        <w:t>.</w:t>
      </w:r>
      <w:r w:rsidR="00AE0382">
        <w:rPr>
          <w:rFonts w:ascii="Titillium" w:hAnsi="Titillium"/>
          <w:sz w:val="20"/>
          <w:szCs w:val="20"/>
        </w:rPr>
        <w:t xml:space="preserve"> I componenti dell’OIV, prima separatamente e poi collegialmente, hanno preso visione della documentazione fornita dall’Ente </w:t>
      </w:r>
      <w:r w:rsidR="001B54F0">
        <w:rPr>
          <w:rFonts w:ascii="Titillium" w:hAnsi="Titillium"/>
          <w:sz w:val="20"/>
          <w:szCs w:val="20"/>
        </w:rPr>
        <w:t>e</w:t>
      </w:r>
      <w:r w:rsidR="00294922">
        <w:rPr>
          <w:rFonts w:ascii="Titillium" w:hAnsi="Titillium"/>
          <w:sz w:val="20"/>
          <w:szCs w:val="20"/>
        </w:rPr>
        <w:t>d</w:t>
      </w:r>
      <w:r w:rsidR="001B54F0">
        <w:rPr>
          <w:rFonts w:ascii="Titillium" w:hAnsi="Titillium"/>
          <w:sz w:val="20"/>
          <w:szCs w:val="20"/>
        </w:rPr>
        <w:t xml:space="preserve"> in data 09/06/2021 hanno effettuato una verifica diretta del materiale pubblicato sul sito istituzionale. </w:t>
      </w:r>
    </w:p>
    <w:p w14:paraId="780ABAAF" w14:textId="77777777" w:rsidR="00FF31C6" w:rsidRPr="00FF31C6" w:rsidRDefault="00FF31C6">
      <w:pPr>
        <w:spacing w:line="360" w:lineRule="auto"/>
        <w:rPr>
          <w:rFonts w:ascii="Titillium" w:hAnsi="Titillium"/>
          <w:sz w:val="20"/>
          <w:szCs w:val="20"/>
        </w:rPr>
      </w:pPr>
    </w:p>
    <w:p w14:paraId="4EA8BE70" w14:textId="77777777" w:rsidR="00C27B23" w:rsidRPr="0041405A" w:rsidRDefault="0048249A">
      <w:pPr>
        <w:spacing w:line="360" w:lineRule="auto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>Aspetti critici riscontrati nel corso della rilevazione</w:t>
      </w:r>
    </w:p>
    <w:p w14:paraId="7654B673" w14:textId="77777777" w:rsidR="00E858B6" w:rsidRPr="001B54F0" w:rsidRDefault="001B54F0">
      <w:pPr>
        <w:spacing w:line="360" w:lineRule="auto"/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</w:pPr>
      <w:r w:rsidRPr="001B54F0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>La rile</w:t>
      </w:r>
      <w:r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>vazione</w:t>
      </w:r>
      <w:r w:rsidR="00F34F98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 xml:space="preserve"> ha dato riscontro molto positivo</w:t>
      </w:r>
      <w:r w:rsidR="00E858B6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 xml:space="preserve">: la maggior parte degli item sono stati raggiunti con punteggio pieno. Sono state rilevate alcune criticità in merito al formato: nella sezione “Controlli e rilievi dell’amministrazione” sono pubblicati alcuni documenti in formato pdf scannerizzato, dunque non aperto. </w:t>
      </w:r>
    </w:p>
    <w:p w14:paraId="7CDC834A" w14:textId="77777777" w:rsidR="00294922" w:rsidRDefault="00294922">
      <w:pPr>
        <w:spacing w:line="360" w:lineRule="auto"/>
        <w:rPr>
          <w:rFonts w:ascii="Titillium" w:hAnsi="Titillium"/>
          <w:b/>
          <w:i/>
          <w:sz w:val="20"/>
          <w:szCs w:val="20"/>
        </w:rPr>
      </w:pPr>
    </w:p>
    <w:p w14:paraId="5D11F220" w14:textId="0B134220" w:rsidR="00C27B23" w:rsidRDefault="0048249A">
      <w:pPr>
        <w:spacing w:line="360" w:lineRule="auto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>Eventuale documentazione da allegare</w:t>
      </w:r>
    </w:p>
    <w:p w14:paraId="1482AFFC" w14:textId="498585E5" w:rsidR="00E858B6" w:rsidRPr="00E858B6" w:rsidRDefault="00294922">
      <w:pPr>
        <w:spacing w:line="360" w:lineRule="auto"/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</w:pPr>
      <w:r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>N</w:t>
      </w:r>
      <w:r w:rsidR="00E858B6" w:rsidRPr="00E858B6">
        <w:rPr>
          <w:rFonts w:ascii="Titillium" w:eastAsia="Calibri" w:hAnsi="Titillium" w:cs="Times New Roman"/>
          <w:color w:val="000000"/>
          <w:sz w:val="20"/>
          <w:szCs w:val="20"/>
          <w:lang w:eastAsia="en-US"/>
        </w:rPr>
        <w:t>essuna</w:t>
      </w:r>
    </w:p>
    <w:sectPr w:rsidR="00E858B6" w:rsidRPr="00E858B6" w:rsidSect="00A05FE3">
      <w:headerReference w:type="default" r:id="rId7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380FC" w14:textId="77777777" w:rsidR="00710ED9" w:rsidRDefault="00710ED9">
      <w:pPr>
        <w:spacing w:after="0" w:line="240" w:lineRule="auto"/>
      </w:pPr>
      <w:r>
        <w:separator/>
      </w:r>
    </w:p>
  </w:endnote>
  <w:endnote w:type="continuationSeparator" w:id="0">
    <w:p w14:paraId="41E89253" w14:textId="77777777" w:rsidR="00710ED9" w:rsidRDefault="00710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F0CE6" w14:textId="77777777" w:rsidR="00710ED9" w:rsidRDefault="00710ED9">
      <w:pPr>
        <w:spacing w:after="0" w:line="240" w:lineRule="auto"/>
      </w:pPr>
      <w:r>
        <w:separator/>
      </w:r>
    </w:p>
  </w:footnote>
  <w:footnote w:type="continuationSeparator" w:id="0">
    <w:p w14:paraId="799DBDE6" w14:textId="77777777" w:rsidR="00710ED9" w:rsidRDefault="00710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C078" w14:textId="77777777" w:rsidR="0085206C" w:rsidRDefault="0085206C" w:rsidP="006E496C">
    <w:pPr>
      <w:pStyle w:val="Intestazione"/>
      <w:jc w:val="right"/>
      <w:rPr>
        <w:rFonts w:ascii="Garamond" w:hAnsi="Garamond"/>
        <w:b/>
      </w:rPr>
    </w:pP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0933BF43" wp14:editId="213D1E58">
          <wp:simplePos x="0" y="0"/>
          <wp:positionH relativeFrom="margin">
            <wp:posOffset>-271780</wp:posOffset>
          </wp:positionH>
          <wp:positionV relativeFrom="topMargin">
            <wp:posOffset>453390</wp:posOffset>
          </wp:positionV>
          <wp:extent cx="2879725" cy="341630"/>
          <wp:effectExtent l="0" t="0" r="0" b="127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AC3809A" w14:textId="77777777" w:rsidR="0085206C" w:rsidRDefault="0085206C" w:rsidP="006E496C">
    <w:pPr>
      <w:pStyle w:val="Intestazione"/>
      <w:jc w:val="right"/>
      <w:rPr>
        <w:rFonts w:ascii="Garamond" w:hAnsi="Garamond"/>
        <w:b/>
      </w:rPr>
    </w:pPr>
  </w:p>
  <w:p w14:paraId="792978F2" w14:textId="77777777" w:rsidR="0085206C" w:rsidRDefault="0085206C" w:rsidP="0085206C">
    <w:pPr>
      <w:pStyle w:val="Intestazione"/>
      <w:tabs>
        <w:tab w:val="left" w:pos="3878"/>
      </w:tabs>
      <w:rPr>
        <w:rFonts w:ascii="Garamond" w:hAnsi="Garamond"/>
        <w:b/>
      </w:rPr>
    </w:pPr>
    <w:r>
      <w:rPr>
        <w:rFonts w:ascii="Garamond" w:hAnsi="Garamond"/>
        <w:b/>
      </w:rPr>
      <w:tab/>
    </w:r>
    <w:r>
      <w:rPr>
        <w:rFonts w:ascii="Garamond" w:hAnsi="Garamond"/>
        <w:b/>
      </w:rPr>
      <w:tab/>
    </w:r>
  </w:p>
  <w:p w14:paraId="4711D66C" w14:textId="77777777" w:rsidR="00C27B23" w:rsidRPr="000F2C0E" w:rsidRDefault="0048249A" w:rsidP="006E496C">
    <w:pPr>
      <w:pStyle w:val="Intestazione"/>
      <w:jc w:val="right"/>
      <w:rPr>
        <w:rFonts w:ascii="Titillium" w:hAnsi="Titillium" w:cs="Times New Roman"/>
        <w:b/>
        <w:sz w:val="20"/>
        <w:szCs w:val="20"/>
      </w:rPr>
    </w:pPr>
    <w:r w:rsidRPr="000F2C0E">
      <w:rPr>
        <w:rFonts w:ascii="Titillium" w:hAnsi="Titillium"/>
        <w:b/>
        <w:sz w:val="20"/>
        <w:szCs w:val="20"/>
      </w:rPr>
      <w:t xml:space="preserve">Allegato 3 alla </w:t>
    </w:r>
    <w:r w:rsidRPr="000F2C0E">
      <w:rPr>
        <w:rFonts w:ascii="Titillium" w:hAnsi="Titillium" w:cs="Times New Roman"/>
        <w:b/>
        <w:sz w:val="20"/>
        <w:szCs w:val="20"/>
      </w:rPr>
      <w:t>delibera</w:t>
    </w:r>
    <w:r w:rsidR="004833D5" w:rsidRPr="000F2C0E">
      <w:rPr>
        <w:rFonts w:ascii="Titillium" w:hAnsi="Titillium" w:cs="Times New Roman"/>
        <w:b/>
        <w:sz w:val="20"/>
        <w:szCs w:val="20"/>
      </w:rPr>
      <w:t xml:space="preserve"> ANAC</w:t>
    </w:r>
    <w:r w:rsidRPr="000F2C0E">
      <w:rPr>
        <w:rFonts w:ascii="Titillium" w:hAnsi="Titillium" w:cs="Times New Roman"/>
        <w:b/>
        <w:sz w:val="20"/>
        <w:szCs w:val="20"/>
      </w:rPr>
      <w:t xml:space="preserve"> n. </w:t>
    </w:r>
    <w:r w:rsidR="0041405A" w:rsidRPr="000F2C0E">
      <w:rPr>
        <w:rFonts w:ascii="Titillium" w:hAnsi="Titillium" w:cs="Times New Roman"/>
        <w:b/>
        <w:sz w:val="20"/>
        <w:szCs w:val="20"/>
      </w:rPr>
      <w:t>294</w:t>
    </w:r>
    <w:r w:rsidRPr="000F2C0E">
      <w:rPr>
        <w:rFonts w:ascii="Titillium" w:hAnsi="Titillium" w:cs="Times New Roman"/>
        <w:b/>
        <w:sz w:val="20"/>
        <w:szCs w:val="20"/>
      </w:rPr>
      <w:t>/</w:t>
    </w:r>
    <w:r w:rsidR="009C05D1" w:rsidRPr="000F2C0E">
      <w:rPr>
        <w:rFonts w:ascii="Titillium" w:hAnsi="Titillium" w:cs="Times New Roman"/>
        <w:b/>
        <w:sz w:val="20"/>
        <w:szCs w:val="20"/>
      </w:rPr>
      <w:t>202</w:t>
    </w:r>
    <w:r w:rsidR="00040F20" w:rsidRPr="000F2C0E">
      <w:rPr>
        <w:rFonts w:ascii="Titillium" w:hAnsi="Titillium" w:cs="Times New Roman"/>
        <w:b/>
        <w:sz w:val="20"/>
        <w:szCs w:val="20"/>
      </w:rPr>
      <w:t>1</w:t>
    </w:r>
  </w:p>
  <w:p w14:paraId="125BC67A" w14:textId="77777777" w:rsidR="0085206C" w:rsidRDefault="0085206C" w:rsidP="006E496C">
    <w:pPr>
      <w:pStyle w:val="Intestazione"/>
      <w:jc w:val="right"/>
      <w:rPr>
        <w:rFonts w:ascii="Garamond" w:hAnsi="Garamond" w:cs="Times New Roman"/>
        <w:b/>
      </w:rPr>
    </w:pPr>
  </w:p>
  <w:p w14:paraId="65D9F69B" w14:textId="77777777" w:rsidR="0085206C" w:rsidRPr="006E496C" w:rsidRDefault="0085206C" w:rsidP="006E496C">
    <w:pPr>
      <w:pStyle w:val="Intestazione"/>
      <w:jc w:val="right"/>
      <w:rPr>
        <w:rFonts w:ascii="Garamond" w:hAnsi="Garamond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3E981BA1"/>
    <w:multiLevelType w:val="multilevel"/>
    <w:tmpl w:val="42B6B57E"/>
    <w:lvl w:ilvl="0">
      <w:start w:val="1"/>
      <w:numFmt w:val="none"/>
      <w:pStyle w:val="Titolo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B23"/>
    <w:rsid w:val="00040F20"/>
    <w:rsid w:val="0007476E"/>
    <w:rsid w:val="000D05C8"/>
    <w:rsid w:val="000F2C0E"/>
    <w:rsid w:val="0016468A"/>
    <w:rsid w:val="001B54F0"/>
    <w:rsid w:val="0024134D"/>
    <w:rsid w:val="00294922"/>
    <w:rsid w:val="002C572E"/>
    <w:rsid w:val="00350635"/>
    <w:rsid w:val="00351979"/>
    <w:rsid w:val="003E1CF5"/>
    <w:rsid w:val="0041405A"/>
    <w:rsid w:val="00416AD0"/>
    <w:rsid w:val="00441748"/>
    <w:rsid w:val="0048249A"/>
    <w:rsid w:val="004833D5"/>
    <w:rsid w:val="004F18CD"/>
    <w:rsid w:val="00560A68"/>
    <w:rsid w:val="005A1A11"/>
    <w:rsid w:val="0060106A"/>
    <w:rsid w:val="006E496C"/>
    <w:rsid w:val="007052EA"/>
    <w:rsid w:val="00710ED9"/>
    <w:rsid w:val="00713BFD"/>
    <w:rsid w:val="00726988"/>
    <w:rsid w:val="007701EE"/>
    <w:rsid w:val="007A107C"/>
    <w:rsid w:val="00837860"/>
    <w:rsid w:val="0085206C"/>
    <w:rsid w:val="00861FE1"/>
    <w:rsid w:val="008A0378"/>
    <w:rsid w:val="00955140"/>
    <w:rsid w:val="009A5646"/>
    <w:rsid w:val="009C05D1"/>
    <w:rsid w:val="009C6FAC"/>
    <w:rsid w:val="00A05FE3"/>
    <w:rsid w:val="00A52DF7"/>
    <w:rsid w:val="00AE0382"/>
    <w:rsid w:val="00AF790D"/>
    <w:rsid w:val="00C27B23"/>
    <w:rsid w:val="00C32BE7"/>
    <w:rsid w:val="00D0615F"/>
    <w:rsid w:val="00D27496"/>
    <w:rsid w:val="00D8171C"/>
    <w:rsid w:val="00DC2A21"/>
    <w:rsid w:val="00E8452E"/>
    <w:rsid w:val="00E858B6"/>
    <w:rsid w:val="00F34F98"/>
    <w:rsid w:val="00FC7906"/>
    <w:rsid w:val="00FF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F794"/>
  <w15:docId w15:val="{B7A5DF21-7243-4CD5-8997-FBC810B4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A05FE3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sid w:val="00A05FE3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sid w:val="00A05FE3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sid w:val="00A05FE3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sid w:val="00A05FE3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sid w:val="00A05FE3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sid w:val="00A05FE3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sid w:val="00A05FE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sid w:val="00A05FE3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A05FE3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sid w:val="00A05FE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sid w:val="00A05FE3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sid w:val="00A05FE3"/>
    <w:rPr>
      <w:rFonts w:ascii="Courier New" w:hAnsi="Courier New" w:cs="Courier New"/>
    </w:rPr>
  </w:style>
  <w:style w:type="character" w:customStyle="1" w:styleId="WWCharLFO13LVL3">
    <w:name w:val="WW_CharLFO13LVL3"/>
    <w:rsid w:val="00A05FE3"/>
    <w:rPr>
      <w:rFonts w:ascii="Wingdings" w:hAnsi="Wingdings"/>
    </w:rPr>
  </w:style>
  <w:style w:type="character" w:customStyle="1" w:styleId="WWCharLFO13LVL4">
    <w:name w:val="WW_CharLFO13LVL4"/>
    <w:rsid w:val="00A05FE3"/>
    <w:rPr>
      <w:rFonts w:ascii="Symbol" w:hAnsi="Symbol"/>
    </w:rPr>
  </w:style>
  <w:style w:type="character" w:customStyle="1" w:styleId="WWCharLFO13LVL5">
    <w:name w:val="WW_CharLFO13LVL5"/>
    <w:rsid w:val="00A05FE3"/>
    <w:rPr>
      <w:rFonts w:ascii="Courier New" w:hAnsi="Courier New" w:cs="Courier New"/>
    </w:rPr>
  </w:style>
  <w:style w:type="character" w:customStyle="1" w:styleId="WWCharLFO13LVL6">
    <w:name w:val="WW_CharLFO13LVL6"/>
    <w:rsid w:val="00A05FE3"/>
    <w:rPr>
      <w:rFonts w:ascii="Wingdings" w:hAnsi="Wingdings"/>
    </w:rPr>
  </w:style>
  <w:style w:type="character" w:customStyle="1" w:styleId="WWCharLFO13LVL7">
    <w:name w:val="WW_CharLFO13LVL7"/>
    <w:rsid w:val="00A05FE3"/>
    <w:rPr>
      <w:rFonts w:ascii="Symbol" w:hAnsi="Symbol"/>
    </w:rPr>
  </w:style>
  <w:style w:type="character" w:customStyle="1" w:styleId="WWCharLFO13LVL8">
    <w:name w:val="WW_CharLFO13LVL8"/>
    <w:rsid w:val="00A05FE3"/>
    <w:rPr>
      <w:rFonts w:ascii="Courier New" w:hAnsi="Courier New" w:cs="Courier New"/>
    </w:rPr>
  </w:style>
  <w:style w:type="character" w:customStyle="1" w:styleId="WWCharLFO13LVL9">
    <w:name w:val="WW_CharLFO13LVL9"/>
    <w:rsid w:val="00A05FE3"/>
    <w:rPr>
      <w:rFonts w:ascii="Wingdings" w:hAnsi="Wingdings"/>
    </w:rPr>
  </w:style>
  <w:style w:type="character" w:customStyle="1" w:styleId="WWCharLFO15LVL1">
    <w:name w:val="WW_CharLFO15LVL1"/>
    <w:rsid w:val="00A05FE3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sid w:val="00A05FE3"/>
    <w:rPr>
      <w:rFonts w:ascii="Courier New" w:hAnsi="Courier New" w:cs="Courier New"/>
    </w:rPr>
  </w:style>
  <w:style w:type="character" w:customStyle="1" w:styleId="WWCharLFO15LVL3">
    <w:name w:val="WW_CharLFO15LVL3"/>
    <w:rsid w:val="00A05FE3"/>
    <w:rPr>
      <w:rFonts w:ascii="Wingdings" w:hAnsi="Wingdings"/>
    </w:rPr>
  </w:style>
  <w:style w:type="character" w:customStyle="1" w:styleId="WWCharLFO15LVL4">
    <w:name w:val="WW_CharLFO15LVL4"/>
    <w:rsid w:val="00A05FE3"/>
    <w:rPr>
      <w:rFonts w:ascii="Symbol" w:hAnsi="Symbol"/>
    </w:rPr>
  </w:style>
  <w:style w:type="character" w:customStyle="1" w:styleId="WWCharLFO15LVL5">
    <w:name w:val="WW_CharLFO15LVL5"/>
    <w:rsid w:val="00A05FE3"/>
    <w:rPr>
      <w:rFonts w:ascii="Courier New" w:hAnsi="Courier New" w:cs="Courier New"/>
    </w:rPr>
  </w:style>
  <w:style w:type="character" w:customStyle="1" w:styleId="WWCharLFO15LVL6">
    <w:name w:val="WW_CharLFO15LVL6"/>
    <w:rsid w:val="00A05FE3"/>
    <w:rPr>
      <w:rFonts w:ascii="Wingdings" w:hAnsi="Wingdings"/>
    </w:rPr>
  </w:style>
  <w:style w:type="character" w:customStyle="1" w:styleId="WWCharLFO15LVL7">
    <w:name w:val="WW_CharLFO15LVL7"/>
    <w:rsid w:val="00A05FE3"/>
    <w:rPr>
      <w:rFonts w:ascii="Symbol" w:hAnsi="Symbol"/>
    </w:rPr>
  </w:style>
  <w:style w:type="character" w:customStyle="1" w:styleId="WWCharLFO15LVL8">
    <w:name w:val="WW_CharLFO15LVL8"/>
    <w:rsid w:val="00A05FE3"/>
    <w:rPr>
      <w:rFonts w:ascii="Courier New" w:hAnsi="Courier New" w:cs="Courier New"/>
    </w:rPr>
  </w:style>
  <w:style w:type="character" w:customStyle="1" w:styleId="WWCharLFO15LVL9">
    <w:name w:val="WW_CharLFO15LVL9"/>
    <w:rsid w:val="00A05FE3"/>
    <w:rPr>
      <w:rFonts w:ascii="Wingdings" w:hAnsi="Wingdings"/>
    </w:rPr>
  </w:style>
  <w:style w:type="character" w:customStyle="1" w:styleId="Caratteredellanota">
    <w:name w:val="Carattere della nota"/>
    <w:rsid w:val="00A05FE3"/>
  </w:style>
  <w:style w:type="paragraph" w:styleId="Testonotaapidipagina">
    <w:name w:val="footnote text"/>
    <w:basedOn w:val="Normale"/>
    <w:rsid w:val="00A05FE3"/>
  </w:style>
  <w:style w:type="paragraph" w:styleId="Paragrafoelenco">
    <w:name w:val="List Paragraph"/>
    <w:basedOn w:val="Normale"/>
    <w:rsid w:val="00A05FE3"/>
    <w:pPr>
      <w:ind w:left="357" w:hanging="357"/>
    </w:pPr>
  </w:style>
  <w:style w:type="paragraph" w:styleId="Titolo">
    <w:name w:val="Title"/>
    <w:basedOn w:val="Normale"/>
    <w:next w:val="Normale"/>
    <w:autoRedefine/>
    <w:rsid w:val="00A05FE3"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1">
    <w:name w:val="Corpo del testo1"/>
    <w:basedOn w:val="Normale"/>
    <w:rsid w:val="00A05FE3"/>
  </w:style>
  <w:style w:type="paragraph" w:styleId="Intestazione">
    <w:name w:val="header"/>
    <w:basedOn w:val="Normale"/>
    <w:rsid w:val="00A05FE3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rsid w:val="00A05FE3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rsid w:val="00A05FE3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sid w:val="00A05FE3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A05FE3"/>
    <w:rPr>
      <w:b/>
      <w:bCs/>
    </w:rPr>
  </w:style>
  <w:style w:type="paragraph" w:styleId="Testofumetto">
    <w:name w:val="Balloon Text"/>
    <w:basedOn w:val="Normale"/>
    <w:rsid w:val="00A05FE3"/>
    <w:pPr>
      <w:spacing w:after="0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i.siciliani</dc:creator>
  <cp:lastModifiedBy>Anna Bonini</cp:lastModifiedBy>
  <cp:revision>8</cp:revision>
  <cp:lastPrinted>2018-02-28T15:30:00Z</cp:lastPrinted>
  <dcterms:created xsi:type="dcterms:W3CDTF">2021-06-11T19:18:00Z</dcterms:created>
  <dcterms:modified xsi:type="dcterms:W3CDTF">2021-06-15T10:08:00Z</dcterms:modified>
</cp:coreProperties>
</file>